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023" w:rsidRPr="001F6023" w:rsidRDefault="001F6023" w:rsidP="001F6023">
      <w:pPr>
        <w:jc w:val="center"/>
        <w:rPr>
          <w:b/>
          <w:sz w:val="40"/>
          <w:szCs w:val="40"/>
          <w:u w:val="single"/>
        </w:rPr>
      </w:pPr>
      <w:r w:rsidRPr="001F6023">
        <w:rPr>
          <w:b/>
          <w:sz w:val="40"/>
          <w:szCs w:val="40"/>
          <w:u w:val="single"/>
        </w:rPr>
        <w:t>Lost Hills</w:t>
      </w:r>
      <w:r>
        <w:rPr>
          <w:b/>
          <w:sz w:val="40"/>
          <w:szCs w:val="40"/>
          <w:u w:val="single"/>
        </w:rPr>
        <w:t xml:space="preserve"> LCERP</w:t>
      </w:r>
      <w:r w:rsidRPr="001F6023">
        <w:rPr>
          <w:b/>
          <w:sz w:val="40"/>
          <w:szCs w:val="40"/>
          <w:u w:val="single"/>
        </w:rPr>
        <w:t xml:space="preserve"> Strategies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1"/>
        <w:gridCol w:w="6519"/>
      </w:tblGrid>
      <w:tr w:rsidR="001F6023" w:rsidRPr="001F6023" w:rsidTr="001F6023">
        <w:trPr>
          <w:trHeight w:val="6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6023" w:rsidRPr="001F6023" w:rsidRDefault="00A53302" w:rsidP="001F6023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Fuentes de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Contaminacion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6023" w:rsidRPr="001F6023" w:rsidRDefault="00A53302" w:rsidP="001F6023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Estrategia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Propuesta</w:t>
            </w:r>
            <w:proofErr w:type="spellEnd"/>
          </w:p>
        </w:tc>
      </w:tr>
      <w:tr w:rsidR="001F6023" w:rsidRPr="001F6023" w:rsidTr="001F6023">
        <w:trPr>
          <w:trHeight w:val="64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6023" w:rsidRPr="001F6023" w:rsidRDefault="00A53302" w:rsidP="001F6023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A53302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>Procesamiento de alimentos y operaciones industriales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6023" w:rsidRPr="001F6023" w:rsidRDefault="00B50D92" w:rsidP="001F6023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B50D92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>La LCSC solicita al Distrito del Aire y a la CARB que proporcionen una lista de equipos y fuentes móviles de contaminación que reciben permisos del Distrito, un cronograma de inspecciones y una lista de infracciones. Además, la LCSC solicita un aumento en las inspecciones y la aplicación de la ley sobre fuentes fijas dentro del límite de la comunidad.</w:t>
            </w:r>
          </w:p>
        </w:tc>
      </w:tr>
      <w:tr w:rsidR="001F6023" w:rsidRPr="001F6023" w:rsidTr="001F6023">
        <w:trPr>
          <w:trHeight w:val="64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F6023" w:rsidRPr="001F6023" w:rsidRDefault="001F6023" w:rsidP="001F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6023" w:rsidRPr="001F6023" w:rsidRDefault="00B12DEC" w:rsidP="001F6023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B12DEC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>La LCSC solicita al Equipo de Inspección de Fuentes Móviles en Carretera de CARB que realice inspecciones en la carretera en la ruta local de la instalación y en los lugares donde los residentes han notado ralentí crónico.</w:t>
            </w:r>
          </w:p>
        </w:tc>
      </w:tr>
      <w:tr w:rsidR="001F6023" w:rsidRPr="001F6023" w:rsidTr="001F6023">
        <w:trPr>
          <w:trHeight w:val="64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6023" w:rsidRPr="001F6023" w:rsidRDefault="00A53302" w:rsidP="00A53302">
            <w:pPr>
              <w:spacing w:before="240"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302">
              <w:rPr>
                <w:rFonts w:ascii="Times New Roman" w:eastAsia="Times New Roman" w:hAnsi="Times New Roman" w:cs="Times New Roman"/>
                <w:sz w:val="24"/>
                <w:szCs w:val="24"/>
              </w:rPr>
              <w:t>Polvo</w:t>
            </w:r>
            <w:proofErr w:type="spellEnd"/>
            <w:r w:rsidRPr="00A533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302">
              <w:rPr>
                <w:rFonts w:ascii="Times New Roman" w:eastAsia="Times New Roman" w:hAnsi="Times New Roman" w:cs="Times New Roman"/>
                <w:sz w:val="24"/>
                <w:szCs w:val="24"/>
              </w:rPr>
              <w:t>fugitivo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6023" w:rsidRPr="001F6023" w:rsidRDefault="00B12DEC" w:rsidP="001F6023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B12DEC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>La LCSC solicita al Distrito del Aire que reduzca las emisiones de polvo fugitivo de las operaciones agrícolas a través de una mayor divulgación y acceso a incentivos para comprar equipos de cosecha agrícola menos contaminantes (emisiones cero o casi cero).</w:t>
            </w:r>
          </w:p>
        </w:tc>
      </w:tr>
      <w:tr w:rsidR="001F6023" w:rsidRPr="001F6023" w:rsidTr="001F6023">
        <w:trPr>
          <w:trHeight w:val="6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F6023" w:rsidRPr="001F6023" w:rsidRDefault="001F6023" w:rsidP="001F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6023" w:rsidRPr="001F6023" w:rsidRDefault="00B12DEC" w:rsidP="001F6023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B12DEC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 xml:space="preserve">LCSC solicita al Distrito del Aire que reemplace cuatro cosechadoras de pistachos o almendras en </w:t>
            </w:r>
            <w:proofErr w:type="spellStart"/>
            <w:r w:rsidRPr="00B12DEC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>Lost</w:t>
            </w:r>
            <w:proofErr w:type="spellEnd"/>
            <w:r w:rsidRPr="00B12DEC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12DEC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>Hills</w:t>
            </w:r>
            <w:proofErr w:type="spellEnd"/>
            <w:r w:rsidRPr="00B12DEC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 xml:space="preserve"> con tecnología más limpia (con emisiones cero o casi cero) y que se ofrezcan más fondos para tecnologías de vehículos eléctricos.</w:t>
            </w:r>
          </w:p>
        </w:tc>
      </w:tr>
      <w:tr w:rsidR="001F6023" w:rsidRPr="001F6023" w:rsidTr="001F6023">
        <w:trPr>
          <w:trHeight w:val="3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F6023" w:rsidRPr="001F6023" w:rsidRDefault="001F6023" w:rsidP="001F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6023" w:rsidRPr="001F6023" w:rsidRDefault="00B12DEC" w:rsidP="001F6023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B12DEC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>La LCSC solicita que el condado de Kern financie más aceras y proyectos de pavimentación de calles para reducir el polvo del tráfico en áreas sin pavimentar.</w:t>
            </w:r>
          </w:p>
        </w:tc>
      </w:tr>
      <w:tr w:rsidR="001F6023" w:rsidRPr="001F6023" w:rsidTr="001F6023">
        <w:trPr>
          <w:trHeight w:val="3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F6023" w:rsidRPr="001F6023" w:rsidRDefault="001F6023" w:rsidP="001F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6023" w:rsidRPr="001F6023" w:rsidRDefault="00B12DEC" w:rsidP="001F6023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B12DEC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>La LCSC insta al Distrito del Aire a reducir la exposición a partículas en la comunidad mediante el desarrollo de un Plan de Barrera Vegetal.</w:t>
            </w:r>
          </w:p>
        </w:tc>
      </w:tr>
      <w:tr w:rsidR="001F6023" w:rsidRPr="001F6023" w:rsidTr="001F6023">
        <w:trPr>
          <w:trHeight w:val="3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F6023" w:rsidRPr="001F6023" w:rsidRDefault="001F6023" w:rsidP="001F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6023" w:rsidRPr="001F6023" w:rsidRDefault="00B12DEC" w:rsidP="001F6023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B12DEC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 xml:space="preserve">LCSC desarrollará un Plan de </w:t>
            </w:r>
            <w:proofErr w:type="spellStart"/>
            <w:r w:rsidRPr="00B12DEC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>Ecologización</w:t>
            </w:r>
            <w:proofErr w:type="spellEnd"/>
            <w:r w:rsidRPr="00B12DEC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 xml:space="preserve"> Urbana en asociación con agencias gubernamentales</w:t>
            </w:r>
          </w:p>
        </w:tc>
      </w:tr>
      <w:tr w:rsidR="001F6023" w:rsidRPr="001F6023" w:rsidTr="001F6023">
        <w:trPr>
          <w:trHeight w:val="3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F6023" w:rsidRPr="001F6023" w:rsidRDefault="001F6023" w:rsidP="001F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6023" w:rsidRPr="001F6023" w:rsidRDefault="00B12DEC" w:rsidP="001F6023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B12DEC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 xml:space="preserve">Alternativa de quema de madera y LCSC solicita al Distrito del Aire que organice un taller en </w:t>
            </w:r>
            <w:proofErr w:type="spellStart"/>
            <w:r w:rsidR="00DE2C35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>Lost</w:t>
            </w:r>
            <w:proofErr w:type="spellEnd"/>
            <w:r w:rsidR="00DE2C35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 xml:space="preserve"> </w:t>
            </w:r>
            <w:proofErr w:type="spellStart"/>
            <w:r w:rsidR="00DE2C35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>Hills</w:t>
            </w:r>
            <w:proofErr w:type="spellEnd"/>
            <w:r w:rsidRPr="00B12DEC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 xml:space="preserve"> para educar a la comunidad agrícola local sobre las regulaciones de quema al aire libre, el programa de manejo del humo y los incentivos para reducir la quema a través de otros métodos.</w:t>
            </w:r>
          </w:p>
        </w:tc>
      </w:tr>
      <w:tr w:rsidR="001F6023" w:rsidRPr="001F6023" w:rsidTr="001F6023">
        <w:trPr>
          <w:trHeight w:val="3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F6023" w:rsidRPr="001F6023" w:rsidRDefault="001F6023" w:rsidP="001F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6023" w:rsidRPr="001F6023" w:rsidRDefault="00B12DEC" w:rsidP="001F6023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B12DEC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>La LCSC abogará por la priorización del reemplazo de vehículos públicos</w:t>
            </w:r>
          </w:p>
        </w:tc>
      </w:tr>
      <w:tr w:rsidR="001F6023" w:rsidRPr="001F6023" w:rsidTr="001F6023">
        <w:trPr>
          <w:trHeight w:val="3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F6023" w:rsidRPr="001F6023" w:rsidRDefault="001F6023" w:rsidP="001F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6023" w:rsidRPr="001F6023" w:rsidRDefault="00B12DEC" w:rsidP="001F602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B12DEC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>La LCSC solicita que el condado de Kern financie más aceras y proyectos de pavimentación de calles para reducir el polvo del tráfico en áreas sin pavimentar.</w:t>
            </w:r>
          </w:p>
        </w:tc>
      </w:tr>
      <w:tr w:rsidR="001F6023" w:rsidRPr="001F6023" w:rsidTr="001F6023">
        <w:trPr>
          <w:trHeight w:val="3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F6023" w:rsidRPr="001F6023" w:rsidRDefault="001F6023" w:rsidP="001F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6023" w:rsidRPr="001F6023" w:rsidRDefault="00B12DEC" w:rsidP="001F6023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B12DEC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>La LCSC también solicita un taller sobre la regla del polvo fugitivo y su aplicación en operaciones agrícolas y de construcción y estrategias de control del polvo.</w:t>
            </w:r>
          </w:p>
        </w:tc>
      </w:tr>
      <w:tr w:rsidR="001F6023" w:rsidRPr="001F6023" w:rsidTr="001F6023">
        <w:trPr>
          <w:trHeight w:val="64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6023" w:rsidRPr="001F6023" w:rsidRDefault="00A53302" w:rsidP="001F6023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A53302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>Fuentes móviles de alta potencia (diésel)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6023" w:rsidRPr="001F6023" w:rsidRDefault="00B12DEC" w:rsidP="001F6023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B12DEC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 xml:space="preserve">El LCSC exige mayor transparencia y financiación para tecnologías de emisiones cero y casi cero. El Distrito del Aire debería animar a los pequeños y grandes empresarios de </w:t>
            </w:r>
            <w:proofErr w:type="spellStart"/>
            <w:r w:rsidRPr="00B12DEC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>Lost</w:t>
            </w:r>
            <w:proofErr w:type="spellEnd"/>
            <w:r w:rsidRPr="00B12DEC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12DEC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>Hills</w:t>
            </w:r>
            <w:proofErr w:type="spellEnd"/>
            <w:r w:rsidRPr="00B12DEC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 xml:space="preserve"> a participar y promover la tecnología totalmente eléctrica de cero emisiones.</w:t>
            </w:r>
          </w:p>
        </w:tc>
      </w:tr>
      <w:tr w:rsidR="001F6023" w:rsidRPr="001F6023" w:rsidTr="001F6023">
        <w:trPr>
          <w:trHeight w:val="33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6023" w:rsidRPr="001F6023" w:rsidRDefault="00A53302" w:rsidP="001F6023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A53302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>Emisiones de diésel de camiones, autobuses y otros vehículos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6023" w:rsidRPr="001F6023" w:rsidRDefault="00B12DEC" w:rsidP="001F6023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B12DEC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 xml:space="preserve">La LCSC trabajará para abordar los impactos de la contaminación diésel en la salud y la seguridad en </w:t>
            </w:r>
            <w:proofErr w:type="spellStart"/>
            <w:r w:rsidRPr="00B12DEC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>Lost</w:t>
            </w:r>
            <w:proofErr w:type="spellEnd"/>
            <w:r w:rsidRPr="00B12DEC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12DEC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>Hills</w:t>
            </w:r>
            <w:proofErr w:type="spellEnd"/>
            <w:r w:rsidRPr="00B12DEC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>, California.</w:t>
            </w:r>
          </w:p>
        </w:tc>
      </w:tr>
      <w:tr w:rsidR="001F6023" w:rsidRPr="001F6023" w:rsidTr="001F6023">
        <w:trPr>
          <w:trHeight w:val="3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023" w:rsidRPr="001F6023" w:rsidRDefault="001F6023" w:rsidP="001F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6023" w:rsidRPr="001F6023" w:rsidRDefault="00B12DEC" w:rsidP="001F6023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B12DEC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 xml:space="preserve">La LCSC solicita la priorización de los distritos escolares de </w:t>
            </w:r>
            <w:proofErr w:type="spellStart"/>
            <w:r w:rsidRPr="00B12DEC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>Lost</w:t>
            </w:r>
            <w:proofErr w:type="spellEnd"/>
            <w:r w:rsidRPr="00B12DEC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12DEC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>Hills</w:t>
            </w:r>
            <w:proofErr w:type="spellEnd"/>
            <w:r w:rsidRPr="00B12DEC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 xml:space="preserve"> para la financiación del reemplazo de autobuses eléctricos</w:t>
            </w:r>
          </w:p>
        </w:tc>
      </w:tr>
      <w:tr w:rsidR="001F6023" w:rsidRPr="001F6023" w:rsidTr="001F6023">
        <w:trPr>
          <w:trHeight w:val="3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023" w:rsidRPr="001F6023" w:rsidRDefault="001F6023" w:rsidP="001F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6023" w:rsidRPr="001F6023" w:rsidRDefault="00B12DEC" w:rsidP="001F6023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B12DEC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>El LCSC tiene como objetivo comprender las reglas, los incentivos y las estrategias de cumplimiento existentes para camiones, autobuses y otros vehículos de carretera.</w:t>
            </w:r>
          </w:p>
        </w:tc>
      </w:tr>
      <w:tr w:rsidR="001F6023" w:rsidRPr="001F6023" w:rsidTr="001F6023">
        <w:trPr>
          <w:trHeight w:val="5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023" w:rsidRPr="001F6023" w:rsidRDefault="001F6023" w:rsidP="001F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6023" w:rsidRPr="001F6023" w:rsidRDefault="00B12DEC" w:rsidP="001F6023">
            <w:pPr>
              <w:spacing w:after="24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B12DEC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>La LCSC planea desarrollar una lista de vehículos elegibles y establecer objetivos para programas de incentivos.</w:t>
            </w:r>
          </w:p>
        </w:tc>
      </w:tr>
      <w:tr w:rsidR="001F6023" w:rsidRPr="001F6023" w:rsidTr="001F6023">
        <w:trPr>
          <w:trHeight w:val="3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023" w:rsidRPr="001F6023" w:rsidRDefault="001F6023" w:rsidP="001F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6023" w:rsidRPr="001F6023" w:rsidRDefault="00B12DEC" w:rsidP="001F6023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B12DEC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>La LCSC insta a CARB y al condado de Kern a unir esfuerzos para colocar señales de no ralentí y realizar inspecciones en las áreas donde se produce ralentí crónico.</w:t>
            </w:r>
          </w:p>
        </w:tc>
      </w:tr>
      <w:tr w:rsidR="001F6023" w:rsidRPr="001F6023" w:rsidTr="001F6023">
        <w:trPr>
          <w:trHeight w:val="3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023" w:rsidRPr="001F6023" w:rsidRDefault="001F6023" w:rsidP="001F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6023" w:rsidRPr="001F6023" w:rsidRDefault="00B12DEC" w:rsidP="001F6023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B12DEC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>La LCSC también organizará acciones para hacer cumplir las regulaciones en las carreteras, crear conciencia sobre la contaminación por diésel y estudiar las rutas de camiones cerca de áreas residenciales.</w:t>
            </w:r>
          </w:p>
        </w:tc>
      </w:tr>
      <w:tr w:rsidR="001F6023" w:rsidRPr="001F6023" w:rsidTr="001F6023">
        <w:trPr>
          <w:trHeight w:val="33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6023" w:rsidRPr="001F6023" w:rsidRDefault="00A53302" w:rsidP="001F6023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A53302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>Emisiones de diésel fuera de carretera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6023" w:rsidRPr="001F6023" w:rsidRDefault="00B12DEC" w:rsidP="001F6023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B12DEC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>La LCSC solicita que el Distrito del Aire les notifique siempre que las fuentes estacionarias soliciten permisos para construir o modificar sus operaciones.</w:t>
            </w:r>
          </w:p>
        </w:tc>
      </w:tr>
      <w:tr w:rsidR="001F6023" w:rsidRPr="001F6023" w:rsidTr="001F6023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F6023" w:rsidRPr="001F6023" w:rsidRDefault="001F6023" w:rsidP="001F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6023" w:rsidRPr="001F6023" w:rsidRDefault="00B12DEC" w:rsidP="001F6023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B12DEC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>El LCSC está interesado en aprender más sobre los recursos y las oportunidades para actualizar pequeñas fuentes, como motores de bombas de agua, etc.</w:t>
            </w:r>
          </w:p>
        </w:tc>
      </w:tr>
      <w:tr w:rsidR="001F6023" w:rsidRPr="001F6023" w:rsidTr="001F6023">
        <w:trPr>
          <w:trHeight w:val="645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F6023" w:rsidRPr="001F6023" w:rsidRDefault="001F6023" w:rsidP="001F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6023" w:rsidRPr="001F6023" w:rsidRDefault="00B12DEC" w:rsidP="001F6023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B12DEC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>Muchas operaciones utilizan generadores diésel en emergencias para mantener sus operaciones en funcionamiento. Estos podrían reemplazarse por microrredes solares y baterías. La LCSC solicita una lista de permisos para generadores diésel en la comunidad.</w:t>
            </w:r>
          </w:p>
        </w:tc>
      </w:tr>
      <w:tr w:rsidR="001F6023" w:rsidRPr="001F6023" w:rsidTr="001F6023">
        <w:trPr>
          <w:trHeight w:val="33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6023" w:rsidRPr="001F6023" w:rsidRDefault="00A53302" w:rsidP="00A53302">
            <w:pPr>
              <w:spacing w:before="240"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3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Emisiones</w:t>
            </w:r>
            <w:proofErr w:type="spellEnd"/>
            <w:r w:rsidRPr="00A533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302">
              <w:rPr>
                <w:rFonts w:ascii="Times New Roman" w:eastAsia="Times New Roman" w:hAnsi="Times New Roman" w:cs="Times New Roman"/>
                <w:sz w:val="24"/>
                <w:szCs w:val="24"/>
              </w:rPr>
              <w:t>tóxicas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6023" w:rsidRPr="001F6023" w:rsidRDefault="00B12DEC" w:rsidP="001F6023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B12DEC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>La LCSC solicita al Distrito del Aire que haga que las Solicitudes de Registros Públicos sean más accesibles para la comunidad y capacite a los residentes sobre cómo presentar PRR para que puedan comprender qué tipos de operaciones están permitidas en su comunidad.</w:t>
            </w:r>
          </w:p>
        </w:tc>
      </w:tr>
      <w:tr w:rsidR="001F6023" w:rsidRPr="001F6023" w:rsidTr="001F6023">
        <w:trPr>
          <w:trHeight w:val="3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F6023" w:rsidRPr="001F6023" w:rsidRDefault="001F6023" w:rsidP="001F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6023" w:rsidRPr="001F6023" w:rsidRDefault="00B12DEC" w:rsidP="001F6023">
            <w:pPr>
              <w:spacing w:before="240" w:after="24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B12DEC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>El LCSC desarrollará un plan estratégico para educar a los miembros de la comunidad y a los jóvenes sobre la calidad del aire ambiental y los recursos relacionados.</w:t>
            </w:r>
          </w:p>
        </w:tc>
      </w:tr>
      <w:tr w:rsidR="001F6023" w:rsidRPr="001F6023" w:rsidTr="001F6023">
        <w:trPr>
          <w:trHeight w:val="3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F6023" w:rsidRPr="001F6023" w:rsidRDefault="001F6023" w:rsidP="001F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6023" w:rsidRPr="001F6023" w:rsidRDefault="00B12DEC" w:rsidP="001F6023">
            <w:pPr>
              <w:spacing w:before="240" w:after="24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B12DEC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>El LCSC solicita al Distrito del Aire que organice un taller para educar a la comunidad local sobre las regulaciones para la quema a cielo abierto, el programa de gestión del humo y los incentivos para reducir la quema mediante otros métodos. Esto incluiría educación sobre la quema ilegal de leña, la quema residencial y la quema de residuos residenciales.</w:t>
            </w:r>
          </w:p>
        </w:tc>
      </w:tr>
      <w:tr w:rsidR="001F6023" w:rsidRPr="001F6023" w:rsidTr="001F6023">
        <w:trPr>
          <w:trHeight w:val="33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6023" w:rsidRPr="001F6023" w:rsidRDefault="00A53302" w:rsidP="001F6023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3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Pesticidas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6023" w:rsidRPr="001F6023" w:rsidRDefault="00B12DEC" w:rsidP="001F6023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B12DEC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 xml:space="preserve">Participación de los residentes en el desarrollo del sistema de notificación previa al uso de pesticidas del estado, proporcionando comentarios sobre el programa piloto realizado en el condado de </w:t>
            </w:r>
            <w:r w:rsidR="00DE2C35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 xml:space="preserve">Kern </w:t>
            </w:r>
            <w:bookmarkStart w:id="0" w:name="_GoBack"/>
            <w:bookmarkEnd w:id="0"/>
            <w:r w:rsidRPr="00B12DEC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>y recomendaciones para mejorarlo.</w:t>
            </w:r>
          </w:p>
        </w:tc>
      </w:tr>
      <w:tr w:rsidR="001F6023" w:rsidRPr="001F6023" w:rsidTr="001F6023">
        <w:trPr>
          <w:trHeight w:val="3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F6023" w:rsidRPr="001F6023" w:rsidRDefault="001F6023" w:rsidP="001F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6023" w:rsidRPr="001F6023" w:rsidRDefault="00B12DEC" w:rsidP="001F6023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B12DEC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>La LCSC solicita al Departamento de Regulación de Pesticidas (DPR) que desarrolle una sólida estrategia de divulgación del Sistema de Notificación de Pesticidas del Estado.</w:t>
            </w:r>
          </w:p>
        </w:tc>
      </w:tr>
      <w:tr w:rsidR="001F6023" w:rsidRPr="001F6023" w:rsidTr="001F6023">
        <w:trPr>
          <w:trHeight w:val="3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F6023" w:rsidRPr="001F6023" w:rsidRDefault="001F6023" w:rsidP="001F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6023" w:rsidRPr="001F6023" w:rsidRDefault="00B12DEC" w:rsidP="001F6023">
            <w:pPr>
              <w:spacing w:before="240" w:after="24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B12DEC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 xml:space="preserve">La LCSC solicita al DPR que implemente en </w:t>
            </w:r>
            <w:proofErr w:type="spellStart"/>
            <w:r w:rsidRPr="00B12DEC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>Lost</w:t>
            </w:r>
            <w:proofErr w:type="spellEnd"/>
            <w:r w:rsidRPr="00B12DEC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12DEC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>Hills</w:t>
            </w:r>
            <w:proofErr w:type="spellEnd"/>
            <w:r w:rsidRPr="00B12DEC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 xml:space="preserve"> al menos un proyecto piloto basado en las estrategias incluidas en la Hoja de Ruta de California para el Manejo Integrado de Plagas que ayudará a los agricultores locales a reducir el uso de pesticidas.</w:t>
            </w:r>
          </w:p>
        </w:tc>
      </w:tr>
      <w:tr w:rsidR="001F6023" w:rsidRPr="001F6023" w:rsidTr="001F6023">
        <w:trPr>
          <w:trHeight w:val="3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F6023" w:rsidRPr="001F6023" w:rsidRDefault="001F6023" w:rsidP="001F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6023" w:rsidRPr="001F6023" w:rsidRDefault="00B12DEC" w:rsidP="001F6023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B12DEC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>La LCSC solicita al DPR y al Comisionado Agrícola del Condado que establezcan zonas de seguridad alrededor de las escuelas locales.</w:t>
            </w:r>
          </w:p>
        </w:tc>
      </w:tr>
      <w:tr w:rsidR="001F6023" w:rsidRPr="001F6023" w:rsidTr="001F6023">
        <w:trPr>
          <w:trHeight w:val="3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F6023" w:rsidRPr="001F6023" w:rsidRDefault="001F6023" w:rsidP="001F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6023" w:rsidRPr="001F6023" w:rsidRDefault="00B12DEC" w:rsidP="001F6023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B12DEC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>LCSC continuará realizando esfuerzos de asociación con instituciones de investigación para investigar y documentar los impactos de los pesticidas en la salud.</w:t>
            </w:r>
          </w:p>
        </w:tc>
      </w:tr>
      <w:tr w:rsidR="001F6023" w:rsidRPr="001F6023" w:rsidTr="001F6023">
        <w:trPr>
          <w:trHeight w:val="3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F6023" w:rsidRPr="001F6023" w:rsidRDefault="001F6023" w:rsidP="001F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6023" w:rsidRPr="001F6023" w:rsidRDefault="00B12DEC" w:rsidP="001F6023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B12DEC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>Identificación de financiación y expertos técnicos para implementar estas estrategias</w:t>
            </w:r>
          </w:p>
        </w:tc>
      </w:tr>
      <w:tr w:rsidR="001F6023" w:rsidRPr="001F6023" w:rsidTr="001F6023">
        <w:trPr>
          <w:trHeight w:val="3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F6023" w:rsidRPr="001F6023" w:rsidRDefault="001F6023" w:rsidP="001F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6023" w:rsidRPr="001F6023" w:rsidRDefault="00B12DEC" w:rsidP="001F6023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B12DEC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>La LCSC solicita al DPR y al Comisionado Agrícola del Condado que mejoren el cumplimiento de las regulaciones y leyes existentes.</w:t>
            </w:r>
          </w:p>
        </w:tc>
      </w:tr>
      <w:tr w:rsidR="001F6023" w:rsidRPr="001F6023" w:rsidTr="001F6023">
        <w:trPr>
          <w:trHeight w:val="3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F6023" w:rsidRPr="001F6023" w:rsidRDefault="001F6023" w:rsidP="001F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6023" w:rsidRPr="001F6023" w:rsidRDefault="00A53302" w:rsidP="001F6023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A53302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 xml:space="preserve">La LCSC solicita al DPR y al Comisionado de Agricultura del Condado que organicen talleres para educar a los residentes sobre cómo vivir de forma segura cerca de campos donde se aplican pesticidas, incluyendo un plan de comunicación y divulgación para llegar a los miembros de la comunidad donde se encuentren. La divulgación debe incluir los siguientes lugares: escuelas, clubes, pequeñas empresas, cámaras de comercio, espacios públicos y lugares de </w:t>
            </w:r>
            <w:proofErr w:type="gramStart"/>
            <w:r w:rsidRPr="00A53302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>culto.</w:t>
            </w:r>
            <w:r w:rsidR="001F6023" w:rsidRPr="001F6023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>.</w:t>
            </w:r>
            <w:proofErr w:type="gramEnd"/>
          </w:p>
        </w:tc>
      </w:tr>
      <w:tr w:rsidR="001F6023" w:rsidRPr="001F6023" w:rsidTr="001F6023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6023" w:rsidRPr="001F6023" w:rsidRDefault="00A53302" w:rsidP="001F6023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A53302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>Reducción de las emisiones de la producción de petróleo y gas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6023" w:rsidRPr="001F6023" w:rsidRDefault="00A53302" w:rsidP="001F6023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A53302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 xml:space="preserve">La LCSC solicita una mayor divulgación y financiación de tecnologías de emisiones cero y casi cero en torno a las operaciones de producción de petróleo y gas para reducir las emisiones de </w:t>
            </w:r>
            <w:proofErr w:type="spellStart"/>
            <w:r w:rsidRPr="00A53302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>NOx</w:t>
            </w:r>
            <w:proofErr w:type="spellEnd"/>
            <w:r w:rsidRPr="00A53302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 xml:space="preserve"> y PM2.5.</w:t>
            </w:r>
          </w:p>
        </w:tc>
      </w:tr>
      <w:tr w:rsidR="001F6023" w:rsidRPr="001F6023" w:rsidTr="001F6023">
        <w:trPr>
          <w:trHeight w:val="33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6023" w:rsidRPr="001F6023" w:rsidRDefault="00A53302" w:rsidP="001F6023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A53302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>Reducción de la exposición a incendios forestales y quemas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6023" w:rsidRPr="001F6023" w:rsidRDefault="00A53302" w:rsidP="001F6023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A53302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 xml:space="preserve">LCSC solicita al Distrito del Aire que organice un taller en </w:t>
            </w:r>
            <w:proofErr w:type="spellStart"/>
            <w:r w:rsidRPr="00A53302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>Lost</w:t>
            </w:r>
            <w:proofErr w:type="spellEnd"/>
            <w:r w:rsidRPr="00A53302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A53302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>Hills</w:t>
            </w:r>
            <w:proofErr w:type="spellEnd"/>
            <w:r w:rsidRPr="00A53302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 xml:space="preserve"> para educar a la comunidad agrícola local sobre las regulaciones de quema al aire libre, el programa de manejo del humo y los incentivos para reducir la quema a través de otros métodos.</w:t>
            </w:r>
          </w:p>
        </w:tc>
      </w:tr>
      <w:tr w:rsidR="001F6023" w:rsidRPr="001F6023" w:rsidTr="001F6023">
        <w:trPr>
          <w:trHeight w:val="3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023" w:rsidRPr="001F6023" w:rsidRDefault="001F6023" w:rsidP="001F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6023" w:rsidRPr="001F6023" w:rsidRDefault="00A53302" w:rsidP="001F6023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A53302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>La LCSC solicita que el programa "Salas de Aire Limpio" para proporcionar unidades de filtración de aire residencial gratuitas se abra a los residentes y que se desarrolle una campaña de extensión comunitaria a través de las escuelas y eventos de inscripción en persona.</w:t>
            </w:r>
          </w:p>
        </w:tc>
      </w:tr>
      <w:tr w:rsidR="001F6023" w:rsidRPr="001F6023" w:rsidTr="001F6023">
        <w:trPr>
          <w:trHeight w:val="33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6023" w:rsidRPr="001F6023" w:rsidRDefault="00A53302" w:rsidP="001F6023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3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Resiliencia</w:t>
            </w:r>
            <w:proofErr w:type="spellEnd"/>
            <w:r w:rsidRPr="00A533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33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climática</w:t>
            </w:r>
            <w:proofErr w:type="spellEnd"/>
            <w:r w:rsidRPr="00A533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y </w:t>
            </w:r>
            <w:proofErr w:type="spellStart"/>
            <w:r w:rsidRPr="00A533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energética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6023" w:rsidRPr="001F6023" w:rsidRDefault="00A53302" w:rsidP="001F6023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A53302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>Electrificar los hogares cambiando a electrodomésticos de alta eficiencia, reduciendo el uso de combustibles fósiles como el gas natural y el propano combinado con la instalación de paneles solares con baterías.</w:t>
            </w:r>
          </w:p>
        </w:tc>
      </w:tr>
      <w:tr w:rsidR="001F6023" w:rsidRPr="001F6023" w:rsidTr="001F6023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F6023" w:rsidRPr="001F6023" w:rsidRDefault="001F6023" w:rsidP="001F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6023" w:rsidRPr="001F6023" w:rsidRDefault="00A53302" w:rsidP="001F602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A53302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>Buscar financiación para incentivos financieros para la instalación de sistemas solares fotovoltaicos (PV), o para tarifas preferenciales para energía verde en la comunidad</w:t>
            </w:r>
            <w:r w:rsidR="001F6023" w:rsidRPr="001F6023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>. </w:t>
            </w:r>
          </w:p>
        </w:tc>
      </w:tr>
      <w:tr w:rsidR="001F6023" w:rsidRPr="001F6023" w:rsidTr="001F6023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F6023" w:rsidRPr="001F6023" w:rsidRDefault="001F6023" w:rsidP="001F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6023" w:rsidRPr="001F6023" w:rsidRDefault="00A53302" w:rsidP="001F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A53302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>Aumentar el número y la disponibilidad de vehículos eléctricos de cero emisiones para familias de bajos ingresos y proporcionar infraestructura de carga pública.</w:t>
            </w:r>
          </w:p>
        </w:tc>
      </w:tr>
      <w:tr w:rsidR="001F6023" w:rsidRPr="001F6023" w:rsidTr="001F6023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F6023" w:rsidRPr="001F6023" w:rsidRDefault="001F6023" w:rsidP="001F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6023" w:rsidRPr="001F6023" w:rsidRDefault="00A53302" w:rsidP="001F6023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A53302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>La LCSC desarrollará un programa de Car Share de bajo coste y cero emisiones</w:t>
            </w:r>
          </w:p>
        </w:tc>
      </w:tr>
      <w:tr w:rsidR="001F6023" w:rsidRPr="001F6023" w:rsidTr="001F6023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F6023" w:rsidRPr="001F6023" w:rsidRDefault="001F6023" w:rsidP="001F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6023" w:rsidRPr="001F6023" w:rsidRDefault="00A53302" w:rsidP="001F6023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A53302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>Instalar infraestructuras públicas de carga de vehículos eléctricos para ayudar a nuestra comunidad a apoyar el uso de vehículos eléctricos.</w:t>
            </w:r>
          </w:p>
        </w:tc>
      </w:tr>
      <w:tr w:rsidR="001F6023" w:rsidRPr="001F6023" w:rsidTr="001F6023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F6023" w:rsidRPr="001F6023" w:rsidRDefault="001F6023" w:rsidP="001F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6023" w:rsidRPr="001F6023" w:rsidRDefault="00A53302" w:rsidP="001F602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A53302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 xml:space="preserve">El LCSC creará un plan de capacitación educativa y mecánica para vehículos eléctricos. Esta estrategia busca proporcionar fondos de incentivo para desarrollar y </w:t>
            </w:r>
            <w:r w:rsidRPr="00A53302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lastRenderedPageBreak/>
              <w:t>promover la formación del personal en mecánica, operación segura y mantenimiento de vehículos e infraestructura de combustibles alternativos.</w:t>
            </w:r>
          </w:p>
        </w:tc>
      </w:tr>
      <w:tr w:rsidR="001F6023" w:rsidRPr="001F6023" w:rsidTr="001F6023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F6023" w:rsidRPr="001F6023" w:rsidRDefault="001F6023" w:rsidP="001F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6023" w:rsidRPr="001F6023" w:rsidRDefault="00A53302" w:rsidP="001F602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A53302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>La LCSC creará un plan para reducir el impacto de la contaminación del aire en los niños en las escuelas y guarderías mejorando el sistema de filtración de aire y reduciendo las partículas.</w:t>
            </w:r>
          </w:p>
        </w:tc>
      </w:tr>
      <w:tr w:rsidR="001F6023" w:rsidRPr="001F6023" w:rsidTr="001F6023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F6023" w:rsidRPr="001F6023" w:rsidRDefault="001F6023" w:rsidP="001F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6023" w:rsidRPr="001F6023" w:rsidRDefault="00A53302" w:rsidP="001F6023">
            <w:pPr>
              <w:spacing w:after="24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A53302"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  <w:t>El LCSC trabajará para crear un plan para un centro de resiliencia climática donde las familias puedan buscar refugio, servicios y seguridad durante eventos climáticos extremos y emergencias.</w:t>
            </w:r>
          </w:p>
        </w:tc>
      </w:tr>
    </w:tbl>
    <w:p w:rsidR="001F6023" w:rsidRPr="00A53302" w:rsidRDefault="001F6023">
      <w:pPr>
        <w:rPr>
          <w:lang w:val="es-MX"/>
        </w:rPr>
      </w:pPr>
    </w:p>
    <w:sectPr w:rsidR="001F6023" w:rsidRPr="00A53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23"/>
    <w:rsid w:val="001F6023"/>
    <w:rsid w:val="00640AC9"/>
    <w:rsid w:val="00A15F01"/>
    <w:rsid w:val="00A53302"/>
    <w:rsid w:val="00B12DEC"/>
    <w:rsid w:val="00B50D92"/>
    <w:rsid w:val="00CD1374"/>
    <w:rsid w:val="00DE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DD0A2"/>
  <w15:chartTrackingRefBased/>
  <w15:docId w15:val="{65001477-C49A-4A60-9AF4-9E6CDF97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6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A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0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6996</TotalTime>
  <Pages>5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Alonso</dc:creator>
  <cp:keywords/>
  <dc:description/>
  <cp:lastModifiedBy>Jesus Alonso</cp:lastModifiedBy>
  <cp:revision>4</cp:revision>
  <cp:lastPrinted>2026-03-04T00:45:00Z</cp:lastPrinted>
  <dcterms:created xsi:type="dcterms:W3CDTF">2026-02-17T20:43:00Z</dcterms:created>
  <dcterms:modified xsi:type="dcterms:W3CDTF">2026-03-05T08:09:00Z</dcterms:modified>
</cp:coreProperties>
</file>